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59" w:before="0" w:after="1"/>
        <w:ind w:hanging="0" w:left="0" w:right="0"/>
        <w:jc w:val="left"/>
        <w:rPr>
          <w:rFonts w:ascii="Verdana" w:hAnsi="Verdana" w:eastAsia="Verdana" w:cs="Verdana"/>
          <w:color w:val="000000"/>
          <w:sz w:val="24"/>
          <w:szCs w:val="24"/>
        </w:rPr>
      </w:pPr>
      <w:r>
        <w:rPr>
          <w:rFonts w:eastAsia="Verdana" w:cs="Verdana" w:ascii="Verdana" w:hAnsi="Verdana"/>
          <w:color w:val="000000"/>
          <w:sz w:val="24"/>
          <w:szCs w:val="24"/>
        </w:rPr>
        <w:drawing>
          <wp:inline distT="0" distB="0" distL="0" distR="0">
            <wp:extent cx="6123305" cy="158496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6123305" cy="1584960"/>
                    </a:xfrm>
                    <a:prstGeom prst="rect">
                      <a:avLst/>
                    </a:prstGeom>
                  </pic:spPr>
                </pic:pic>
              </a:graphicData>
            </a:graphic>
          </wp:inline>
        </w:drawing>
      </w:r>
    </w:p>
    <w:p>
      <w:pPr>
        <w:pStyle w:val="Normal"/>
        <w:widowControl/>
        <w:bidi w:val="0"/>
        <w:spacing w:lineRule="auto" w:line="259" w:before="0" w:after="257"/>
        <w:ind w:hanging="0" w:left="0" w:right="0"/>
        <w:jc w:val="center"/>
        <w:rPr>
          <w:rFonts w:ascii="TimesNewRomanPS-BoldMT" w:hAnsi="TimesNewRomanPS-BoldMT" w:eastAsia="TimesNewRomanPS-BoldMT" w:cs="TimesNewRomanPS-BoldMT"/>
          <w:b/>
          <w:bCs/>
          <w:color w:val="000000"/>
          <w:sz w:val="24"/>
          <w:szCs w:val="24"/>
        </w:rPr>
      </w:pPr>
      <w:r>
        <w:rPr>
          <w:rFonts w:eastAsia="TimesNewRomanPS-BoldMT" w:cs="TimesNewRomanPS-BoldMT" w:ascii="TimesNewRomanPS-BoldMT" w:hAnsi="TimesNewRomanPS-BoldMT"/>
          <w:b/>
          <w:bCs/>
          <w:color w:val="000000"/>
          <w:sz w:val="24"/>
          <w:szCs w:val="24"/>
        </w:rPr>
        <w:t>Via Statale 14 25088 Toscolano-Maderno (BS) C.F. 96027770179</w:t>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Gentile professionista/studente/associato A.I.O.,</w:t>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causa impegni pregressi dei nostri relatori siamo stati costretti a posticipare i minicorsi previsti in settembre, tuttavia abbiamo un bella novità perché si è aggiunta la presentazione di Matthew Thie, figlio del creatore del Touch For Health John F. Thie, Facoltà di Touch for Health per gli USA, co-autore del manuale di Touch for Health, direttore della Touch for Health Education e nostro presidente onorario. Abbiamo inoltre suddiviso la presentazione del video del Dott. Sheldon Deal in due serate, per poter garantire la più completa ed integrale traduzione in italiano.</w:t>
      </w:r>
    </w:p>
    <w:p>
      <w:pPr>
        <w:pStyle w:val="Normal"/>
        <w:widowControl/>
        <w:bidi w:val="0"/>
        <w:spacing w:lineRule="auto" w:line="249" w:before="0" w:after="395"/>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Approfitta di questa incredibile opportunità di presenziare a quattro incontri a un prezzo davvero irrisorio.</w:t>
      </w:r>
    </w:p>
    <w:p>
      <w:pPr>
        <w:pStyle w:val="Normal"/>
        <w:widowControl/>
        <w:bidi w:val="0"/>
        <w:spacing w:lineRule="auto" w:line="249" w:before="0" w:after="0"/>
        <w:ind w:hanging="0" w:left="10" w:right="0"/>
        <w:jc w:val="center"/>
        <w:rPr/>
      </w:pPr>
      <w:r>
        <w:rPr>
          <w:rFonts w:eastAsia="Verdana" w:cs="Verdana" w:ascii="Verdana" w:hAnsi="Verdana"/>
          <w:color w:val="000000"/>
          <w:sz w:val="32"/>
          <w:szCs w:val="32"/>
        </w:rPr>
        <w:t>Primo e</w:t>
      </w:r>
      <w:r>
        <w:rPr>
          <w:rFonts w:eastAsia="Verdana" w:cs="Verdana" w:ascii="Verdana" w:hAnsi="Verdana"/>
          <w:color w:val="000000"/>
          <w:sz w:val="24"/>
          <w:szCs w:val="24"/>
        </w:rPr>
        <w:t xml:space="preserve"> </w:t>
      </w:r>
      <w:r>
        <w:rPr>
          <w:rFonts w:eastAsia="Verdana" w:cs="Verdana" w:ascii="Verdana" w:hAnsi="Verdana"/>
          <w:color w:val="000000"/>
          <w:sz w:val="32"/>
          <w:szCs w:val="32"/>
        </w:rPr>
        <w:t xml:space="preserve">Secondo incontro con video del </w:t>
      </w:r>
      <w:r>
        <w:rPr>
          <w:rFonts w:eastAsia="Verdana-Bold" w:cs="Verdana-Bold" w:ascii="Verdana-Bold" w:hAnsi="Verdana-Bold"/>
          <w:b/>
          <w:bCs/>
          <w:color w:val="000000"/>
          <w:sz w:val="32"/>
          <w:szCs w:val="32"/>
        </w:rPr>
        <w:t>Dott. Sheldon Deal</w:t>
      </w:r>
      <w:r>
        <w:rPr>
          <w:rFonts w:eastAsia="Verdana" w:cs="Verdana" w:ascii="Verdana" w:hAnsi="Verdana"/>
          <w:color w:val="000000"/>
          <w:sz w:val="32"/>
          <w:szCs w:val="32"/>
        </w:rPr>
        <w:t>:</w:t>
      </w:r>
    </w:p>
    <w:p>
      <w:pPr>
        <w:pStyle w:val="Normal"/>
        <w:widowControl/>
        <w:bidi w:val="0"/>
        <w:spacing w:lineRule="auto" w:line="249" w:before="0" w:after="215"/>
        <w:ind w:hanging="0" w:left="10" w:right="2"/>
        <w:jc w:val="center"/>
        <w:rPr>
          <w:rFonts w:ascii="Verdana-Bold" w:hAnsi="Verdana-Bold" w:eastAsia="Verdana-Bold" w:cs="Verdana-Bold"/>
          <w:b/>
          <w:bCs/>
          <w:color w:val="000000"/>
          <w:sz w:val="32"/>
          <w:szCs w:val="32"/>
        </w:rPr>
      </w:pPr>
      <w:r>
        <w:rPr>
          <w:rFonts w:eastAsia="Verdana-Bold" w:cs="Verdana-Bold" w:ascii="Verdana-Bold" w:hAnsi="Verdana-Bold"/>
          <w:b/>
          <w:bCs/>
          <w:color w:val="000000"/>
          <w:sz w:val="32"/>
          <w:szCs w:val="32"/>
        </w:rPr>
        <w:t>martedi 17 e 24 ottobre dalle 20.30 alle 22.30.</w:t>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 xml:space="preserve">Vi presentiamo la registrazione di un intervento del Dott Sheldon Deal (già presidente della commissione esaminatrice del Collegio Internazionale di Kinesiologia Applicata) a un Congresso, con la traduzione simultanea in italiano di Maurizio Piva, in cui viene trattato un interessantissimo argomento per l’utilizzo dei magneti in kinesiologia. Il Dott. Deal spiegherà e mostrerà varie applicazioni con i magneti. Davvero unico. </w:t>
      </w:r>
    </w:p>
    <w:p>
      <w:pPr>
        <w:pStyle w:val="Normal"/>
        <w:widowControl/>
        <w:bidi w:val="0"/>
        <w:spacing w:lineRule="auto" w:line="259" w:before="0" w:after="53"/>
        <w:ind w:hanging="0" w:left="0" w:right="0"/>
        <w:jc w:val="left"/>
        <w:rPr>
          <w:rFonts w:ascii="Verdana" w:hAnsi="Verdana" w:eastAsia="Verdana" w:cs="Verdana"/>
          <w:color w:val="000000"/>
          <w:sz w:val="24"/>
          <w:szCs w:val="24"/>
        </w:rPr>
      </w:pPr>
      <w:r>
        <w:rPr/>
      </w:r>
    </w:p>
    <w:p>
      <w:pPr>
        <w:pStyle w:val="Normal"/>
        <w:widowControl/>
        <w:bidi w:val="0"/>
        <w:spacing w:lineRule="auto" w:line="249" w:before="0" w:after="0"/>
        <w:ind w:hanging="0" w:left="10" w:right="0"/>
        <w:jc w:val="center"/>
        <w:rPr/>
      </w:pPr>
      <w:r>
        <w:rPr>
          <w:rFonts w:eastAsia="Verdana" w:cs="Verdana" w:ascii="Verdana" w:hAnsi="Verdana"/>
          <w:color w:val="000000"/>
          <w:sz w:val="32"/>
          <w:szCs w:val="32"/>
        </w:rPr>
        <w:t>Terzo</w:t>
      </w:r>
      <w:r>
        <w:rPr>
          <w:rFonts w:eastAsia="Verdana" w:cs="Verdana" w:ascii="Verdana" w:hAnsi="Verdana"/>
          <w:color w:val="000000"/>
          <w:sz w:val="32"/>
          <w:szCs w:val="32"/>
        </w:rPr>
        <w:t xml:space="preserve"> incontro con </w:t>
      </w:r>
      <w:r>
        <w:rPr>
          <w:rFonts w:eastAsia="Verdana-Bold" w:cs="Verdana-Bold" w:ascii="Verdana-Bold" w:hAnsi="Verdana-Bold"/>
          <w:b/>
          <w:bCs/>
          <w:color w:val="000000"/>
          <w:sz w:val="32"/>
          <w:szCs w:val="32"/>
        </w:rPr>
        <w:t>Matthew Thie</w:t>
      </w:r>
      <w:r>
        <w:rPr>
          <w:rFonts w:eastAsia="Verdana" w:cs="Verdana" w:ascii="Verdana" w:hAnsi="Verdana"/>
          <w:color w:val="000000"/>
          <w:sz w:val="32"/>
          <w:szCs w:val="32"/>
        </w:rPr>
        <w:t xml:space="preserve">: </w:t>
      </w:r>
      <w:r>
        <w:rPr>
          <w:rFonts w:eastAsia="Verdana-Bold" w:cs="Verdana-Bold" w:ascii="Verdana-Bold" w:hAnsi="Verdana-Bold"/>
          <w:b/>
          <w:bCs/>
          <w:color w:val="000000"/>
          <w:sz w:val="32"/>
          <w:szCs w:val="32"/>
        </w:rPr>
        <w:t>martedì 28 Novembre dalle 20.30 alle 22.30.</w:t>
      </w:r>
    </w:p>
    <w:p>
      <w:pPr>
        <w:pStyle w:val="Normal"/>
        <w:widowControl/>
        <w:bidi w:val="0"/>
        <w:spacing w:lineRule="auto" w:line="273" w:before="0" w:after="200"/>
        <w:ind w:hanging="0" w:left="0" w:right="0"/>
        <w:jc w:val="both"/>
        <w:rPr>
          <w:rFonts w:ascii="Verdana" w:hAnsi="Verdana" w:eastAsia="Verdana" w:cs="Verdana"/>
          <w:color w:val="1F2023"/>
          <w:sz w:val="24"/>
          <w:szCs w:val="24"/>
        </w:rPr>
      </w:pPr>
      <w:r>
        <w:rPr>
          <w:rFonts w:eastAsia="Verdana" w:cs="Verdana" w:ascii="Verdana" w:hAnsi="Verdana"/>
          <w:color w:val="1F2023"/>
          <w:sz w:val="24"/>
          <w:szCs w:val="24"/>
        </w:rPr>
        <w:t>Matthew Thie insegna da oltre 20 anni in tutto il mondo il Touch for Health e un corso sull’uso delle Metafore associato alla definizione di un traguardo. Originariamente il titolo del seminario sulle Metafore, co-creato insieme al padre John F. Thie, era semplicemente "Metafore dei Cinque Elementi della Medicina Tradizionale Cinese", ma in seguito Matthew decise di sottolineare il concetto degli obiettivi inserendo tale parola nel titolo, per sottolineare l'importanza di questo aspetto nel riequilibrio all’interno del seminario delle Metafore. Il TFH è sempre stato un approccio olistico allo sviluppo della salute, incentrato sul miglioramento della funzionalità, ma le idee e le procedure della definizione degli obiettivi nel TFH si sono evolute molto nel corso degli anni. Nel minicorso del 5 ottobre Matthew descriverà brevemente come suo padre, John Thie, ha sviluppato il suo approccio alla definizione degli obiettivi e dimostrerà un riequilibrio dei 14 muscoli con l’obiettivo come guida per l'autoequilibrio, seguito da un tempo dedicato a domande e risposte.</w:t>
      </w:r>
    </w:p>
    <w:p>
      <w:pPr>
        <w:pStyle w:val="Normal"/>
        <w:widowControl/>
        <w:bidi w:val="0"/>
        <w:spacing w:lineRule="auto" w:line="249" w:before="0" w:after="230"/>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Programma del minicorso:</w:t>
      </w:r>
    </w:p>
    <w:p>
      <w:pPr>
        <w:pStyle w:val="Normal"/>
        <w:widowControl/>
        <w:bidi w:val="0"/>
        <w:spacing w:lineRule="auto" w:line="273" w:before="0" w:after="286"/>
        <w:ind w:hanging="0" w:left="0" w:right="0"/>
        <w:jc w:val="both"/>
        <w:rPr>
          <w:rFonts w:ascii="Verdana" w:hAnsi="Verdana" w:eastAsia="Verdana" w:cs="Verdana"/>
          <w:color w:val="1F2023"/>
          <w:sz w:val="24"/>
          <w:szCs w:val="24"/>
        </w:rPr>
      </w:pPr>
      <w:r>
        <w:rPr>
          <w:rFonts w:eastAsia="Verdana" w:cs="Verdana" w:ascii="Verdana" w:hAnsi="Verdana"/>
          <w:color w:val="1F2023"/>
          <w:sz w:val="24"/>
          <w:szCs w:val="24"/>
        </w:rPr>
        <w:t xml:space="preserve">Introduzione e conoscenza dei partecipanti – Scopo dell’uso dei traguardi secondo il Dott. John Thie – Uso delle metafore nel Touch for Health e con gli obiettivi – Ulteriori informazioni di Matthew Thie sull’uso dei traguardi – Dimostrazione pratica con un volontario per la definizione di un traguardo – riequilibrio dei 14 muscoli con l’uso delle Metafore connesse alla tematica del traguardo – feedback del volontario – approfondimenti di M. Thie – domande dei partecipanti e risposte – spiegazione del concetto “ricordare il benessere” di John F. Thie connesso ai traguardi – commenti finali. </w:t>
      </w:r>
    </w:p>
    <w:p>
      <w:pPr>
        <w:pStyle w:val="Normal"/>
        <w:widowControl/>
        <w:bidi w:val="0"/>
        <w:spacing w:lineRule="auto" w:line="249" w:before="0" w:after="225"/>
        <w:ind w:hanging="0" w:left="0" w:right="0"/>
        <w:jc w:val="both"/>
        <w:rPr/>
      </w:pPr>
      <w:r>
        <w:rPr/>
      </w:r>
    </w:p>
    <w:p>
      <w:pPr>
        <w:pStyle w:val="Normal"/>
        <w:widowControl/>
        <w:bidi w:val="0"/>
        <w:spacing w:lineRule="auto" w:line="249" w:before="0" w:after="225"/>
        <w:ind w:hanging="0" w:left="0" w:right="0"/>
        <w:jc w:val="both"/>
        <w:rPr/>
      </w:pPr>
      <w:r>
        <w:rPr/>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I link per accedere alla visualizzazione dei corsi verranno inviati a tutti gli iscritti prima dei collegamenti.</w:t>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Il costo di partecipazione è di €70, comprensivo di tutti i minicorsi online, oltre che della quota di iscrizione o di rinnovo iscrizione (beneficiato studente €20 già inclusi) all’Associazione Internazionale di Obiettivologia  per l’anno in corso.</w:t>
      </w:r>
    </w:p>
    <w:p>
      <w:pPr>
        <w:pStyle w:val="Normal"/>
        <w:widowControl/>
        <w:bidi w:val="0"/>
        <w:spacing w:lineRule="auto" w:line="249" w:before="0" w:after="3"/>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La quota di partecipazione per chi è già iscritto all’AIO è di euro 50,00. Coloro che erano già iscritti ai minicorsi del Dott. Sheldon Deal e del Dr. Antonio Librale e desiderano assistere anche al minicorso di Matthew Thie possono integrare l’iscrizione versando ulteriori €20 al conto corrente dell’associazione.</w:t>
      </w:r>
    </w:p>
    <w:p>
      <w:pPr>
        <w:pStyle w:val="Normal"/>
        <w:widowControl/>
        <w:bidi w:val="0"/>
        <w:spacing w:lineRule="auto" w:line="249" w:before="0" w:after="48"/>
        <w:ind w:hanging="0" w:left="0" w:right="0"/>
        <w:jc w:val="both"/>
        <w:rPr/>
      </w:pPr>
      <w:r>
        <w:rPr>
          <w:rFonts w:eastAsia="Verdana" w:cs="Verdana" w:ascii="Verdana" w:hAnsi="Verdana"/>
          <w:color w:val="000000"/>
          <w:sz w:val="24"/>
          <w:szCs w:val="24"/>
        </w:rPr>
        <w:t xml:space="preserve">Alleghiamo alla presente la documentazione per l’iscrizione ad AIO come indicato sopra. Compilare la domanda con l’iscrizione come </w:t>
      </w:r>
      <w:r>
        <w:rPr>
          <w:rFonts w:eastAsia="Verdana-Italic" w:cs="Verdana-Italic" w:ascii="Verdana-Italic" w:hAnsi="Verdana-Italic"/>
          <w:i/>
          <w:iCs/>
          <w:color w:val="000000"/>
          <w:sz w:val="24"/>
          <w:szCs w:val="24"/>
        </w:rPr>
        <w:t xml:space="preserve">socio beneficiato studente </w:t>
      </w:r>
      <w:r>
        <w:rPr>
          <w:rFonts w:eastAsia="Verdana" w:cs="Verdana" w:ascii="Verdana" w:hAnsi="Verdana"/>
          <w:color w:val="000000"/>
          <w:sz w:val="24"/>
          <w:szCs w:val="24"/>
        </w:rPr>
        <w:t>(€20) e inviarla all’email indicata allegando copia del bonifico di euro 70,00 e indicando “iscrizione socio beneficiato studente e miniseminari”. Per chi fosse già iscritto all’associazione inviare euro</w:t>
      </w:r>
    </w:p>
    <w:p>
      <w:pPr>
        <w:pStyle w:val="Normal"/>
        <w:widowControl/>
        <w:bidi w:val="0"/>
        <w:spacing w:lineRule="auto" w:line="259" w:before="0" w:after="0"/>
        <w:ind w:hanging="0" w:left="0" w:right="3"/>
        <w:jc w:val="both"/>
        <w:rPr/>
      </w:pPr>
      <w:r>
        <w:rPr>
          <w:rFonts w:eastAsia="Verdana" w:cs="Verdana" w:ascii="Verdana" w:hAnsi="Verdana"/>
          <w:color w:val="000000"/>
          <w:sz w:val="24"/>
          <w:szCs w:val="24"/>
        </w:rPr>
        <w:t>50,00 all’</w:t>
      </w:r>
      <w:r>
        <w:rPr>
          <w:rFonts w:eastAsia="Calibri" w:cs="Calibri" w:ascii="Calibri" w:hAnsi="Calibri"/>
          <w:color w:val="000000"/>
          <w:sz w:val="26"/>
          <w:szCs w:val="26"/>
        </w:rPr>
        <w:t xml:space="preserve">IBAN: </w:t>
      </w:r>
      <w:r>
        <w:rPr>
          <w:rFonts w:eastAsia="Calibri-Bold" w:cs="Calibri-Bold" w:ascii="Calibri-Bold" w:hAnsi="Calibri-Bold"/>
          <w:b/>
          <w:bCs/>
          <w:color w:val="000000"/>
          <w:sz w:val="26"/>
          <w:szCs w:val="26"/>
        </w:rPr>
        <w:t>IT 36Q0359901899086928527230</w:t>
      </w:r>
      <w:r>
        <w:rPr>
          <w:rFonts w:eastAsia="Calibri" w:cs="Calibri" w:ascii="Calibri" w:hAnsi="Calibri"/>
          <w:color w:val="000000"/>
          <w:sz w:val="26"/>
          <w:szCs w:val="26"/>
        </w:rPr>
        <w:t xml:space="preserve"> Bcc Brescia sede Nave e copia dello stesso all’email </w:t>
      </w:r>
      <w:r>
        <w:rPr>
          <w:rFonts w:eastAsia="Calibri-Bold" w:cs="Calibri-Bold" w:ascii="Calibri-Bold" w:hAnsi="Calibri-Bold"/>
          <w:b/>
          <w:bCs/>
          <w:color w:val="0000FF"/>
          <w:sz w:val="26"/>
          <w:szCs w:val="26"/>
          <w:u w:val="single"/>
        </w:rPr>
        <w:t>obiettivologiakinesiologica@gmail.com</w:t>
      </w:r>
      <w:r>
        <w:rPr>
          <w:rFonts w:eastAsia="Calibri-Bold" w:cs="Calibri-Bold" w:ascii="Calibri-Bold" w:hAnsi="Calibri-Bold"/>
          <w:b/>
          <w:bCs/>
          <w:color w:val="000000"/>
          <w:sz w:val="26"/>
          <w:szCs w:val="26"/>
        </w:rPr>
        <w:t xml:space="preserve"> </w:t>
      </w:r>
      <w:r>
        <w:rPr>
          <w:rFonts w:eastAsia="Verdana" w:cs="Verdana" w:ascii="Verdana" w:hAnsi="Verdana"/>
          <w:color w:val="000000"/>
          <w:sz w:val="24"/>
          <w:szCs w:val="24"/>
        </w:rPr>
        <w:t>indicando “iscrizione miniseminari”.</w:t>
      </w:r>
    </w:p>
    <w:p>
      <w:pPr>
        <w:pStyle w:val="Normal"/>
        <w:widowControl/>
        <w:bidi w:val="0"/>
        <w:spacing w:lineRule="auto" w:line="249" w:before="0" w:after="34"/>
        <w:ind w:hanging="0" w:left="0" w:right="0"/>
        <w:jc w:val="both"/>
        <w:rPr>
          <w:rFonts w:ascii="Verdana" w:hAnsi="Verdana" w:eastAsia="Verdana" w:cs="Verdana"/>
          <w:color w:val="000000"/>
          <w:sz w:val="24"/>
          <w:szCs w:val="24"/>
        </w:rPr>
      </w:pPr>
      <w:r>
        <w:rPr>
          <w:rFonts w:eastAsia="Verdana" w:cs="Verdana" w:ascii="Verdana" w:hAnsi="Verdana"/>
          <w:color w:val="000000"/>
          <w:sz w:val="24"/>
          <w:szCs w:val="24"/>
        </w:rPr>
        <w:t>Se sei già un professionista in Kinesiologia per poterti iscrivere ad AIO come socio professionale è necessario dichiarare che la tua attività consiste primariamente nell’utilizzo della kinesiologia dopo aver definito specifici traguardi od obiettivi con il tuo cliente. Dovrai inoltre allegare il tuo attestato professionale di kinesiologia con materie e ore frequentate per ogni materia. Una volta acquisita la documentazione ti risponderemo informandoti della tua corrispondenza con uno dei livelli professionali riconosciuti da AIO. Per qualunque ulteriore richiesta o informazione non esitare a contattarci Cordiali saluti La Segreteria A.I.O.</w:t>
      </w:r>
    </w:p>
    <w:p>
      <w:pPr>
        <w:pStyle w:val="Normal"/>
        <w:widowControl/>
        <w:bidi w:val="0"/>
        <w:spacing w:lineRule="auto" w:line="259" w:before="0" w:after="0"/>
        <w:ind w:hanging="0" w:left="0" w:right="0"/>
        <w:jc w:val="left"/>
        <w:rPr/>
      </w:pPr>
      <w:r>
        <w:rPr>
          <w:rFonts w:eastAsia="Verdana" w:cs="Verdana" w:ascii="Verdana" w:hAnsi="Verdana"/>
          <w:color w:val="000000"/>
          <w:sz w:val="24"/>
          <w:szCs w:val="24"/>
        </w:rPr>
        <w:t xml:space="preserve">Per ulteriori informazioni: </w:t>
      </w:r>
      <w:r>
        <w:rPr>
          <w:rFonts w:eastAsia="Calibri-Bold" w:cs="Calibri-Bold" w:ascii="Calibri-Bold" w:hAnsi="Calibri-Bold"/>
          <w:b/>
          <w:bCs/>
          <w:color w:val="0000FF"/>
          <w:sz w:val="26"/>
          <w:szCs w:val="26"/>
          <w:u w:val="single"/>
        </w:rPr>
        <w:t>obiettivologiakinesiologica@gmail.com</w:t>
      </w:r>
      <w:r>
        <w:rPr>
          <w:rFonts w:eastAsia="Calibri-Bold" w:cs="Calibri-Bold" w:ascii="Calibri-Bold" w:hAnsi="Calibri-Bold"/>
          <w:b/>
          <w:bCs/>
          <w:color w:val="000000"/>
          <w:sz w:val="26"/>
          <w:szCs w:val="26"/>
        </w:rPr>
        <w:t xml:space="preserve"> 3471641097</w:t>
      </w:r>
    </w:p>
    <w:sectPr>
      <w:type w:val="nextPage"/>
      <w:pgSz w:w="11900" w:h="16840"/>
      <w:pgMar w:left="1136" w:right="1134" w:gutter="0" w:header="0" w:top="1417" w:footer="0" w:bottom="147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auto"/>
    <w:pitch w:val="default"/>
  </w:font>
  <w:font w:name="TimesNewRomanPS-BoldMT">
    <w:charset w:val="00"/>
    <w:family w:val="auto"/>
    <w:pitch w:val="default"/>
  </w:font>
  <w:font w:name="Verdana-Bold">
    <w:charset w:val="00"/>
    <w:family w:val="auto"/>
    <w:pitch w:val="default"/>
  </w:font>
  <w:font w:name="Verdana-Italic">
    <w:charset w:val="00"/>
    <w:family w:val="auto"/>
    <w:pitch w:val="default"/>
  </w:font>
  <w:font w:name="Calibri">
    <w:charset w:val="00"/>
    <w:family w:val="auto"/>
    <w:pitch w:val="default"/>
  </w:font>
  <w:font w:name="Calibri-Bold">
    <w:charset w:val="00"/>
    <w:family w:val="auto"/>
    <w:pitch w:val="default"/>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Arial"/>
      <w:color w:val="auto"/>
      <w:kern w:val="2"/>
      <w:sz w:val="24"/>
      <w:szCs w:val="24"/>
      <w:lang w:val="it-IT"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ichiamoallanotaapidipagina">
    <w:name w:val="Richiamo alla nota a piè di pagina"/>
    <w:qFormat/>
    <w:rPr>
      <w:vertAlign w:val="superscript"/>
    </w:rPr>
  </w:style>
  <w:style w:type="character" w:styleId="Richiamoallanotadichiusura">
    <w:name w:val="Richiamo alla nota di chiusura"/>
    <w:qFormat/>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ice">
    <w:name w:val="Indice"/>
    <w:basedOn w:val="Normal"/>
    <w:qFormat/>
    <w:pPr/>
    <w:rPr/>
  </w:style>
  <w:style w:type="paragraph" w:styleId="TextBody">
    <w:name w:val="Text Body"/>
    <w:basedOn w:val="Normal"/>
    <w:qFormat/>
    <w:pPr/>
    <w:rPr/>
  </w:style>
  <w:style w:type="paragraph" w:styleId="Contenutotabella">
    <w:name w:val="Contenuto tabella"/>
    <w:basedOn w:val="TextBody"/>
    <w:qFormat/>
    <w:pPr/>
    <w:rPr/>
  </w:style>
  <w:style w:type="paragraph" w:styleId="Titolotabella">
    <w:name w:val="Titolo tabella"/>
    <w:basedOn w:val="Contenutotabella"/>
    <w:qFormat/>
    <w:pPr/>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717</Words>
  <Characters>4324</Characters>
  <CharactersWithSpaces>5036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